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5E9B" w:rsidRPr="00F70030" w:rsidRDefault="005E5E9B" w:rsidP="005E5E9B">
      <w:pPr>
        <w:pStyle w:val="Title"/>
        <w:rPr>
          <w:sz w:val="20"/>
        </w:rPr>
      </w:pPr>
      <w:bookmarkStart w:id="0" w:name="_GoBack"/>
      <w:bookmarkEnd w:id="0"/>
      <w:r w:rsidRPr="00F70030">
        <w:rPr>
          <w:sz w:val="20"/>
        </w:rPr>
        <w:t>Guidelines for a Research Paper</w:t>
      </w:r>
    </w:p>
    <w:p w:rsidR="005E5E9B" w:rsidRDefault="005E5E9B" w:rsidP="005E5E9B">
      <w:pPr>
        <w:pStyle w:val="D"/>
        <w:rPr>
          <w:sz w:val="20"/>
        </w:rPr>
      </w:pPr>
    </w:p>
    <w:p w:rsidR="009707FA" w:rsidRDefault="009707FA" w:rsidP="009707FA">
      <w:pPr>
        <w:pStyle w:val="D"/>
        <w:rPr>
          <w:sz w:val="20"/>
        </w:rPr>
      </w:pPr>
      <w:r>
        <w:rPr>
          <w:sz w:val="20"/>
        </w:rPr>
        <w:t xml:space="preserve">These are </w:t>
      </w:r>
      <w:r w:rsidRPr="009707FA">
        <w:rPr>
          <w:i/>
          <w:iCs/>
          <w:sz w:val="20"/>
        </w:rPr>
        <w:t>guidelines only</w:t>
      </w:r>
      <w:r>
        <w:rPr>
          <w:sz w:val="20"/>
        </w:rPr>
        <w:t xml:space="preserve">. For the instructions specific to your assignment, please </w:t>
      </w:r>
      <w:r w:rsidRPr="009707FA">
        <w:rPr>
          <w:i/>
          <w:iCs/>
          <w:sz w:val="20"/>
        </w:rPr>
        <w:t>see the syllabus</w:t>
      </w:r>
      <w:r>
        <w:rPr>
          <w:sz w:val="20"/>
        </w:rPr>
        <w:t>.</w:t>
      </w:r>
    </w:p>
    <w:p w:rsidR="009707FA" w:rsidRPr="00F70030" w:rsidRDefault="009707FA" w:rsidP="005E5E9B">
      <w:pPr>
        <w:pStyle w:val="D"/>
        <w:rPr>
          <w:sz w:val="20"/>
        </w:rPr>
      </w:pPr>
    </w:p>
    <w:p w:rsidR="005E5E9B" w:rsidRPr="00F70030" w:rsidRDefault="005E5E9B" w:rsidP="005E5E9B">
      <w:pPr>
        <w:pStyle w:val="Heading1"/>
        <w:rPr>
          <w:sz w:val="20"/>
        </w:rPr>
      </w:pPr>
      <w:r w:rsidRPr="00F70030">
        <w:rPr>
          <w:sz w:val="20"/>
        </w:rPr>
        <w:t>Finding a Topic</w:t>
      </w:r>
    </w:p>
    <w:p w:rsidR="005E5E9B" w:rsidRPr="00F70030" w:rsidRDefault="005E5E9B" w:rsidP="005E5E9B">
      <w:pPr>
        <w:pStyle w:val="D"/>
        <w:rPr>
          <w:sz w:val="20"/>
        </w:rPr>
      </w:pPr>
      <w:r w:rsidRPr="00F70030">
        <w:rPr>
          <w:sz w:val="20"/>
        </w:rPr>
        <w:sym w:font="Symbol" w:char="F0B7"/>
      </w:r>
      <w:r w:rsidRPr="00F70030">
        <w:rPr>
          <w:sz w:val="20"/>
        </w:rPr>
        <w:t xml:space="preserve"> Identifying a topic may be the most challenging step. While the professor will suggest several topics, this is ultimately the student's responsibility.</w:t>
      </w:r>
    </w:p>
    <w:p w:rsidR="005E5E9B" w:rsidRPr="00F70030" w:rsidRDefault="005E5E9B" w:rsidP="005E5E9B">
      <w:pPr>
        <w:pStyle w:val="D"/>
        <w:rPr>
          <w:sz w:val="20"/>
        </w:rPr>
      </w:pPr>
      <w:r w:rsidRPr="00F70030">
        <w:rPr>
          <w:sz w:val="20"/>
        </w:rPr>
        <w:sym w:font="Symbol" w:char="F0B7"/>
      </w:r>
      <w:r w:rsidRPr="00F70030">
        <w:rPr>
          <w:sz w:val="20"/>
        </w:rPr>
        <w:t xml:space="preserve"> There are two basic types of papers: </w:t>
      </w:r>
      <w:r w:rsidRPr="00F70030">
        <w:rPr>
          <w:sz w:val="20"/>
          <w:u w:val="single"/>
        </w:rPr>
        <w:t>exegetical and topical</w:t>
      </w:r>
      <w:r w:rsidRPr="00F70030">
        <w:rPr>
          <w:sz w:val="20"/>
        </w:rPr>
        <w:t>. An exegetical paper focuses on a biblical passage (exegesis fundamentally means interpretation). There is, nevertheless, considerable overlap between these two types.</w:t>
      </w:r>
    </w:p>
    <w:p w:rsidR="005E5E9B" w:rsidRPr="00F70030" w:rsidRDefault="005E5E9B" w:rsidP="005E5E9B">
      <w:pPr>
        <w:pStyle w:val="D"/>
        <w:numPr>
          <w:ilvl w:val="0"/>
          <w:numId w:val="3"/>
        </w:numPr>
        <w:rPr>
          <w:sz w:val="20"/>
        </w:rPr>
      </w:pPr>
      <w:r w:rsidRPr="00F70030">
        <w:rPr>
          <w:sz w:val="20"/>
        </w:rPr>
        <w:t xml:space="preserve">An exegetical paper should not be a pedestrian commentary, merely describing one verse and then the next. To catch and maintain the reader's attention a good exegetical paper will highlight the key (existential) issues tackled in the passage, thus making explicit the </w:t>
      </w:r>
      <w:r w:rsidRPr="00F70030">
        <w:rPr>
          <w:i/>
          <w:iCs/>
          <w:sz w:val="20"/>
        </w:rPr>
        <w:t>significance</w:t>
      </w:r>
      <w:r w:rsidRPr="00F70030">
        <w:rPr>
          <w:sz w:val="20"/>
        </w:rPr>
        <w:t xml:space="preserve"> of one's observations.</w:t>
      </w:r>
    </w:p>
    <w:p w:rsidR="005E5E9B" w:rsidRPr="00F70030" w:rsidRDefault="005E5E9B" w:rsidP="005E5E9B">
      <w:pPr>
        <w:pStyle w:val="D"/>
        <w:numPr>
          <w:ilvl w:val="0"/>
          <w:numId w:val="3"/>
        </w:numPr>
        <w:rPr>
          <w:sz w:val="20"/>
        </w:rPr>
      </w:pPr>
      <w:r w:rsidRPr="00F70030">
        <w:rPr>
          <w:sz w:val="20"/>
        </w:rPr>
        <w:t xml:space="preserve">A topical paper should be founded on several key biblical passages, where the chosen topic surfaces most explicitly in the Bible. As </w:t>
      </w:r>
      <w:r w:rsidRPr="00F70030">
        <w:rPr>
          <w:i/>
          <w:iCs/>
          <w:sz w:val="20"/>
        </w:rPr>
        <w:t>primary</w:t>
      </w:r>
      <w:r w:rsidRPr="00F70030">
        <w:rPr>
          <w:sz w:val="20"/>
        </w:rPr>
        <w:t xml:space="preserve"> sources (see below) are critical evidence to support one's arguments, students will do a measure of their own exegesis on each of these passages.</w:t>
      </w:r>
    </w:p>
    <w:p w:rsidR="005E5E9B" w:rsidRPr="00F70030" w:rsidRDefault="005E5E9B" w:rsidP="005E5E9B">
      <w:pPr>
        <w:pStyle w:val="D"/>
        <w:rPr>
          <w:sz w:val="20"/>
        </w:rPr>
      </w:pPr>
      <w:r w:rsidRPr="00F70030">
        <w:rPr>
          <w:sz w:val="20"/>
        </w:rPr>
        <w:sym w:font="Symbol" w:char="F0B7"/>
      </w:r>
      <w:r w:rsidRPr="00F70030">
        <w:rPr>
          <w:sz w:val="20"/>
        </w:rPr>
        <w:t xml:space="preserve"> As many students will only have a rudimentary knowledge of the field, they may choose to begin with a broad </w:t>
      </w:r>
      <w:r w:rsidRPr="00F70030">
        <w:rPr>
          <w:i/>
          <w:iCs/>
          <w:sz w:val="20"/>
        </w:rPr>
        <w:t>subject</w:t>
      </w:r>
      <w:r w:rsidRPr="00F70030">
        <w:rPr>
          <w:sz w:val="20"/>
        </w:rPr>
        <w:t xml:space="preserve">, which will be specified further as a </w:t>
      </w:r>
      <w:r w:rsidRPr="00F70030">
        <w:rPr>
          <w:i/>
          <w:iCs/>
          <w:sz w:val="20"/>
        </w:rPr>
        <w:t>topic</w:t>
      </w:r>
      <w:r w:rsidRPr="00F70030">
        <w:rPr>
          <w:sz w:val="20"/>
        </w:rPr>
        <w:t xml:space="preserve"> and then specified further as a </w:t>
      </w:r>
      <w:r w:rsidRPr="00F70030">
        <w:rPr>
          <w:i/>
          <w:iCs/>
          <w:sz w:val="20"/>
        </w:rPr>
        <w:t>question</w:t>
      </w:r>
      <w:r w:rsidRPr="00F70030">
        <w:rPr>
          <w:sz w:val="20"/>
        </w:rPr>
        <w:t xml:space="preserve">, which will finally be refined into a </w:t>
      </w:r>
      <w:r w:rsidRPr="00F70030">
        <w:rPr>
          <w:i/>
          <w:iCs/>
          <w:sz w:val="20"/>
        </w:rPr>
        <w:t xml:space="preserve">thesis </w:t>
      </w:r>
      <w:r w:rsidRPr="00F70030">
        <w:rPr>
          <w:sz w:val="20"/>
        </w:rPr>
        <w:t>(statement). It is recommended that, as soon as possible, students formulate their topic as a question, because a question will help ensure the paper's relevance and significance and should capture the reader’s curiosity. If one were to think solely in terms of a subject or topic, then the paper could result in a mere parading of data and information, leaving the reader to ask, "so what?"</w:t>
      </w:r>
    </w:p>
    <w:p w:rsidR="005E5E9B" w:rsidRPr="00F70030" w:rsidRDefault="005E5E9B" w:rsidP="005E5E9B">
      <w:pPr>
        <w:pStyle w:val="D"/>
        <w:rPr>
          <w:sz w:val="20"/>
        </w:rPr>
      </w:pPr>
      <w:r w:rsidRPr="00F70030">
        <w:rPr>
          <w:sz w:val="20"/>
        </w:rPr>
        <w:sym w:font="Symbol" w:char="F0B7"/>
      </w:r>
      <w:r w:rsidRPr="00F70030">
        <w:rPr>
          <w:sz w:val="20"/>
        </w:rPr>
        <w:t xml:space="preserve"> To find a subject area students may choose to peruse the biblical books and passages relevant to the course, scan the topics listed on the course syllabus, or scan through the textbooks and their Tables of Contents.</w:t>
      </w:r>
    </w:p>
    <w:p w:rsidR="005E5E9B" w:rsidRPr="00F70030" w:rsidRDefault="005E5E9B" w:rsidP="005E5E9B">
      <w:pPr>
        <w:pStyle w:val="D"/>
        <w:rPr>
          <w:sz w:val="20"/>
        </w:rPr>
      </w:pPr>
    </w:p>
    <w:p w:rsidR="005E5E9B" w:rsidRPr="00F70030" w:rsidRDefault="005E5E9B" w:rsidP="005E5E9B">
      <w:pPr>
        <w:pStyle w:val="Heading1"/>
        <w:rPr>
          <w:sz w:val="20"/>
        </w:rPr>
      </w:pPr>
      <w:r w:rsidRPr="00F70030">
        <w:rPr>
          <w:sz w:val="20"/>
        </w:rPr>
        <w:t>Process of Research and Writing</w:t>
      </w:r>
    </w:p>
    <w:p w:rsidR="005E5E9B" w:rsidRPr="00F70030" w:rsidRDefault="005E5E9B" w:rsidP="005E5E9B">
      <w:pPr>
        <w:pStyle w:val="D"/>
        <w:rPr>
          <w:sz w:val="20"/>
        </w:rPr>
      </w:pPr>
      <w:r w:rsidRPr="00F70030">
        <w:rPr>
          <w:sz w:val="20"/>
        </w:rPr>
        <w:sym w:font="Symbol" w:char="F0B7"/>
      </w:r>
      <w:r w:rsidRPr="00F70030">
        <w:rPr>
          <w:sz w:val="20"/>
        </w:rPr>
        <w:t xml:space="preserve"> I personally recommend engaging the steps of research as separate tasks: brainstorming, organizing, researching, writing, rewriting.</w:t>
      </w:r>
    </w:p>
    <w:p w:rsidR="005E5E9B" w:rsidRPr="00F70030" w:rsidRDefault="005E5E9B" w:rsidP="005E5E9B">
      <w:pPr>
        <w:pStyle w:val="D"/>
        <w:rPr>
          <w:sz w:val="20"/>
        </w:rPr>
      </w:pPr>
      <w:r w:rsidRPr="00F70030">
        <w:rPr>
          <w:sz w:val="20"/>
        </w:rPr>
        <w:t xml:space="preserve">1. </w:t>
      </w:r>
      <w:r w:rsidRPr="00F70030">
        <w:rPr>
          <w:sz w:val="20"/>
          <w:u w:val="single"/>
        </w:rPr>
        <w:t>Brainstorming</w:t>
      </w:r>
      <w:r w:rsidRPr="00F70030">
        <w:rPr>
          <w:sz w:val="20"/>
        </w:rPr>
        <w:t>. Using a blank sheet of paper, note down your key ideas in words or phrases. At this point, let your imagination run free—do not try to be systematic—as your thoughts circle around your topic.</w:t>
      </w:r>
    </w:p>
    <w:p w:rsidR="005E5E9B" w:rsidRPr="00F70030" w:rsidRDefault="005E5E9B" w:rsidP="005E5E9B">
      <w:pPr>
        <w:pStyle w:val="D"/>
        <w:rPr>
          <w:sz w:val="20"/>
        </w:rPr>
      </w:pPr>
      <w:r w:rsidRPr="00F70030">
        <w:rPr>
          <w:sz w:val="20"/>
        </w:rPr>
        <w:t xml:space="preserve">2. </w:t>
      </w:r>
      <w:r w:rsidRPr="00F70030">
        <w:rPr>
          <w:sz w:val="20"/>
          <w:u w:val="single"/>
        </w:rPr>
        <w:t>Organizing</w:t>
      </w:r>
      <w:r w:rsidRPr="00F70030">
        <w:rPr>
          <w:sz w:val="20"/>
        </w:rPr>
        <w:t>. Now try to connect the "dots" of the ideas that you have jotted down and subordinate minor points to major points. Attempt to create a preliminary outline.</w:t>
      </w:r>
    </w:p>
    <w:p w:rsidR="005E5E9B" w:rsidRPr="00F70030" w:rsidRDefault="005E5E9B" w:rsidP="005E5E9B">
      <w:pPr>
        <w:pStyle w:val="D"/>
        <w:rPr>
          <w:sz w:val="20"/>
        </w:rPr>
      </w:pPr>
      <w:r w:rsidRPr="00F70030">
        <w:rPr>
          <w:sz w:val="20"/>
        </w:rPr>
        <w:t xml:space="preserve">3. </w:t>
      </w:r>
      <w:r w:rsidRPr="00F70030">
        <w:rPr>
          <w:sz w:val="20"/>
          <w:u w:val="single"/>
        </w:rPr>
        <w:t>Researching</w:t>
      </w:r>
      <w:r w:rsidRPr="00F70030">
        <w:rPr>
          <w:sz w:val="20"/>
        </w:rPr>
        <w:t>. Depending on the level of your acquaintance with the chosen topic, you may need to do some preliminary reading, especially in reference works, in order to have a sufficient number of ideas with which to brainstorm and organize. Here is the recommended order of sources for research:</w:t>
      </w:r>
    </w:p>
    <w:p w:rsidR="005E5E9B" w:rsidRPr="00F70030" w:rsidRDefault="005E5E9B" w:rsidP="005E5E9B">
      <w:pPr>
        <w:pStyle w:val="D"/>
        <w:numPr>
          <w:ilvl w:val="0"/>
          <w:numId w:val="4"/>
        </w:numPr>
        <w:rPr>
          <w:sz w:val="20"/>
        </w:rPr>
      </w:pPr>
      <w:r w:rsidRPr="00F70030">
        <w:rPr>
          <w:sz w:val="20"/>
        </w:rPr>
        <w:t>Biblical passage(s). If your paper is exegetical or you already know some of the key passages for your chosen topic, do a close reading of the passages and note down key points.</w:t>
      </w:r>
    </w:p>
    <w:p w:rsidR="005E5E9B" w:rsidRPr="00F70030" w:rsidRDefault="005E5E9B" w:rsidP="005E5E9B">
      <w:pPr>
        <w:pStyle w:val="D"/>
        <w:numPr>
          <w:ilvl w:val="0"/>
          <w:numId w:val="4"/>
        </w:numPr>
        <w:rPr>
          <w:sz w:val="20"/>
        </w:rPr>
      </w:pPr>
      <w:r w:rsidRPr="00F70030">
        <w:rPr>
          <w:sz w:val="20"/>
        </w:rPr>
        <w:t>Reference works. Bible dictionaries/encyclopedias provide an excellent overview for most topics. Even if it is not your intention to cover the entire topic, they will provide the proper contexts for understanding your particular issue. Each entry concludes with a select bibliography that should give you a head start.</w:t>
      </w:r>
    </w:p>
    <w:p w:rsidR="005E5E9B" w:rsidRPr="00F70030" w:rsidRDefault="005E5E9B" w:rsidP="005E5E9B">
      <w:pPr>
        <w:pStyle w:val="D"/>
        <w:numPr>
          <w:ilvl w:val="0"/>
          <w:numId w:val="4"/>
        </w:numPr>
        <w:rPr>
          <w:sz w:val="20"/>
        </w:rPr>
      </w:pPr>
      <w:r w:rsidRPr="00F70030">
        <w:rPr>
          <w:sz w:val="20"/>
        </w:rPr>
        <w:t>Old Testament theologies, histories of Israelite religion. Check the tables of contents and indices of these resources that offer a more comprehensive view of the Old Testament and ancient Israel.</w:t>
      </w:r>
    </w:p>
    <w:p w:rsidR="005E5E9B" w:rsidRPr="00F70030" w:rsidRDefault="005E5E9B" w:rsidP="005E5E9B">
      <w:pPr>
        <w:pStyle w:val="D"/>
        <w:numPr>
          <w:ilvl w:val="0"/>
          <w:numId w:val="4"/>
        </w:numPr>
        <w:rPr>
          <w:sz w:val="20"/>
        </w:rPr>
      </w:pPr>
      <w:r w:rsidRPr="00F70030">
        <w:rPr>
          <w:sz w:val="20"/>
        </w:rPr>
        <w:t>Commentaries. Examine the introductions to several commentaries to see if they treat your topic. Read the relevant sections on your key passages.</w:t>
      </w:r>
    </w:p>
    <w:p w:rsidR="005E5E9B" w:rsidRPr="00F70030" w:rsidRDefault="005E5E9B" w:rsidP="005E5E9B">
      <w:pPr>
        <w:pStyle w:val="D"/>
        <w:numPr>
          <w:ilvl w:val="0"/>
          <w:numId w:val="4"/>
        </w:numPr>
        <w:rPr>
          <w:sz w:val="20"/>
        </w:rPr>
      </w:pPr>
      <w:r w:rsidRPr="00F70030">
        <w:rPr>
          <w:sz w:val="20"/>
        </w:rPr>
        <w:t>Books, monographs. To make the most efficient use of books and monographs (books devoted to a single topic) keep your topic, or better yet, your question in clear focus. Your chief purpose is not to read the book but to gain as much insight as you can on your particular issue. Before doing any close reading, first scan the work, reading the introduction and conclusion, checking headings and first sentences of paragraphs. Don’t lose the forest for the trees.</w:t>
      </w:r>
    </w:p>
    <w:p w:rsidR="005E5E9B" w:rsidRPr="00F70030" w:rsidRDefault="005E5E9B" w:rsidP="005E5E9B">
      <w:pPr>
        <w:pStyle w:val="D"/>
        <w:numPr>
          <w:ilvl w:val="0"/>
          <w:numId w:val="4"/>
        </w:numPr>
        <w:rPr>
          <w:sz w:val="20"/>
        </w:rPr>
      </w:pPr>
      <w:r w:rsidRPr="00F70030">
        <w:rPr>
          <w:sz w:val="20"/>
        </w:rPr>
        <w:t>Journal articles. Generally, this is where you will find cutting-edge research. They can be more technical but still useful for new perspectives on your issue.</w:t>
      </w:r>
    </w:p>
    <w:p w:rsidR="005E5E9B" w:rsidRPr="00F70030" w:rsidRDefault="005E5E9B" w:rsidP="005E5E9B">
      <w:pPr>
        <w:pStyle w:val="D"/>
        <w:rPr>
          <w:sz w:val="20"/>
        </w:rPr>
      </w:pPr>
      <w:r w:rsidRPr="00F70030">
        <w:rPr>
          <w:sz w:val="20"/>
        </w:rPr>
        <w:sym w:font="Symbol" w:char="F0B7"/>
      </w:r>
      <w:r w:rsidRPr="00F70030">
        <w:rPr>
          <w:sz w:val="20"/>
        </w:rPr>
        <w:t xml:space="preserve"> In addition to the bibliographic resources noted above, use the online databases available through the TWU Library, available at </w:t>
      </w:r>
      <w:hyperlink r:id="rId7" w:history="1">
        <w:r w:rsidRPr="00F70030">
          <w:rPr>
            <w:rStyle w:val="Hyperlink"/>
            <w:sz w:val="20"/>
          </w:rPr>
          <w:t>http://www.twu.ca/library/whichindrs.htm</w:t>
        </w:r>
      </w:hyperlink>
      <w:r w:rsidRPr="00F70030">
        <w:rPr>
          <w:sz w:val="20"/>
        </w:rPr>
        <w:t xml:space="preserve"> . My order of preference:</w:t>
      </w:r>
    </w:p>
    <w:p w:rsidR="005E5E9B" w:rsidRPr="00F70030" w:rsidRDefault="005E5E9B" w:rsidP="005E5E9B">
      <w:pPr>
        <w:pStyle w:val="D"/>
        <w:numPr>
          <w:ilvl w:val="0"/>
          <w:numId w:val="5"/>
        </w:numPr>
        <w:rPr>
          <w:rFonts w:ascii="Helvetica" w:hAnsi="Helvetica"/>
          <w:caps/>
          <w:color w:val="333333"/>
          <w:sz w:val="20"/>
          <w:szCs w:val="18"/>
        </w:rPr>
      </w:pPr>
      <w:r w:rsidRPr="00F70030">
        <w:rPr>
          <w:sz w:val="20"/>
        </w:rPr>
        <w:lastRenderedPageBreak/>
        <w:t>“</w:t>
      </w:r>
      <w:hyperlink r:id="rId8" w:history="1">
        <w:r w:rsidRPr="00F70030">
          <w:rPr>
            <w:rStyle w:val="Hyperlink"/>
            <w:rFonts w:ascii="Verdana" w:hAnsi="Verdana"/>
            <w:sz w:val="20"/>
            <w:szCs w:val="18"/>
            <w:shd w:val="clear" w:color="auto" w:fill="FFFFFF"/>
          </w:rPr>
          <w:t>ATLA Religion Database with ATLASerials</w:t>
        </w:r>
      </w:hyperlink>
      <w:r w:rsidRPr="00F70030">
        <w:rPr>
          <w:sz w:val="20"/>
        </w:rPr>
        <w:t>” and then click on “</w:t>
      </w:r>
      <w:hyperlink r:id="rId9" w:history="1">
        <w:r w:rsidRPr="00F70030">
          <w:rPr>
            <w:rStyle w:val="Hyperlink"/>
            <w:rFonts w:ascii="Helvetica" w:hAnsi="Helvetica"/>
            <w:bCs/>
            <w:color w:val="005BC6"/>
            <w:sz w:val="20"/>
            <w:szCs w:val="18"/>
            <w:bdr w:val="none" w:sz="0" w:space="0" w:color="auto" w:frame="1"/>
          </w:rPr>
          <w:t>Choose Databases</w:t>
        </w:r>
      </w:hyperlink>
      <w:r w:rsidRPr="00F70030">
        <w:rPr>
          <w:sz w:val="20"/>
        </w:rPr>
        <w:t>” near the top of the page and select "Old Testament Abstracts" as an additional database. Using "Advanced Search" gives you more control.</w:t>
      </w:r>
    </w:p>
    <w:p w:rsidR="005E5E9B" w:rsidRPr="00F70030" w:rsidRDefault="005E5E9B" w:rsidP="005E5E9B">
      <w:pPr>
        <w:pStyle w:val="D"/>
        <w:numPr>
          <w:ilvl w:val="0"/>
          <w:numId w:val="5"/>
        </w:numPr>
        <w:rPr>
          <w:rFonts w:ascii="Helvetica" w:hAnsi="Helvetica"/>
          <w:caps/>
          <w:color w:val="333333"/>
          <w:sz w:val="20"/>
          <w:szCs w:val="18"/>
        </w:rPr>
      </w:pPr>
      <w:r w:rsidRPr="00F70030">
        <w:rPr>
          <w:sz w:val="20"/>
        </w:rPr>
        <w:t>JSTOR</w:t>
      </w:r>
    </w:p>
    <w:p w:rsidR="005E5E9B" w:rsidRPr="00F70030" w:rsidRDefault="005E5E9B" w:rsidP="005E5E9B">
      <w:pPr>
        <w:pStyle w:val="D"/>
        <w:numPr>
          <w:ilvl w:val="0"/>
          <w:numId w:val="5"/>
        </w:numPr>
        <w:rPr>
          <w:rFonts w:ascii="Helvetica" w:hAnsi="Helvetica"/>
          <w:caps/>
          <w:color w:val="333333"/>
          <w:sz w:val="20"/>
          <w:szCs w:val="18"/>
        </w:rPr>
      </w:pPr>
      <w:r w:rsidRPr="00F70030">
        <w:rPr>
          <w:sz w:val="20"/>
        </w:rPr>
        <w:t>ProQuest Religion</w:t>
      </w:r>
    </w:p>
    <w:p w:rsidR="005E5E9B" w:rsidRPr="00F70030" w:rsidRDefault="005E5E9B" w:rsidP="005E5E9B">
      <w:pPr>
        <w:pStyle w:val="D"/>
        <w:numPr>
          <w:ilvl w:val="0"/>
          <w:numId w:val="5"/>
        </w:numPr>
        <w:rPr>
          <w:rFonts w:ascii="Helvetica" w:hAnsi="Helvetica"/>
          <w:caps/>
          <w:color w:val="333333"/>
          <w:sz w:val="20"/>
          <w:szCs w:val="18"/>
        </w:rPr>
      </w:pPr>
      <w:r w:rsidRPr="00F70030">
        <w:rPr>
          <w:rFonts w:cs="Times New Roman"/>
          <w:sz w:val="20"/>
          <w:szCs w:val="18"/>
        </w:rPr>
        <w:t xml:space="preserve">As some journals are only available in certain databases, you may need to consult the list of journals available through TWU see: </w:t>
      </w:r>
      <w:hyperlink r:id="rId10" w:history="1">
        <w:r w:rsidRPr="00F70030">
          <w:rPr>
            <w:rStyle w:val="Hyperlink"/>
            <w:rFonts w:cs="Times New Roman"/>
            <w:sz w:val="20"/>
            <w:szCs w:val="18"/>
          </w:rPr>
          <w:t>http://cufts2.lib.sfu.ca/CJDB4/BLTW/browse</w:t>
        </w:r>
      </w:hyperlink>
      <w:r w:rsidRPr="00F70030">
        <w:rPr>
          <w:rFonts w:cs="Times New Roman"/>
          <w:sz w:val="20"/>
          <w:szCs w:val="18"/>
        </w:rPr>
        <w:t xml:space="preserve"> .</w:t>
      </w:r>
    </w:p>
    <w:p w:rsidR="005E5E9B" w:rsidRPr="00F70030" w:rsidRDefault="005E5E9B" w:rsidP="005E5E9B">
      <w:pPr>
        <w:pStyle w:val="D"/>
        <w:rPr>
          <w:sz w:val="20"/>
        </w:rPr>
      </w:pPr>
      <w:r w:rsidRPr="00F70030">
        <w:rPr>
          <w:sz w:val="20"/>
        </w:rPr>
        <w:sym w:font="Symbol" w:char="F0B7"/>
      </w:r>
      <w:r w:rsidRPr="00F70030">
        <w:rPr>
          <w:sz w:val="20"/>
        </w:rPr>
        <w:t xml:space="preserve"> Sour</w:t>
      </w:r>
      <w:r w:rsidR="00607CE4">
        <w:rPr>
          <w:sz w:val="20"/>
        </w:rPr>
        <w:t>ces</w:t>
      </w:r>
      <w:r w:rsidRPr="00F70030">
        <w:rPr>
          <w:sz w:val="20"/>
        </w:rPr>
        <w:t xml:space="preserve">. Priority should be given to </w:t>
      </w:r>
      <w:r w:rsidRPr="00F70030">
        <w:rPr>
          <w:i/>
          <w:iCs/>
          <w:sz w:val="20"/>
        </w:rPr>
        <w:t>primary</w:t>
      </w:r>
      <w:r w:rsidRPr="00F70030">
        <w:rPr>
          <w:sz w:val="20"/>
        </w:rPr>
        <w:t xml:space="preserve"> texts and sources (e.g., the Bible, ANE texts, archaeology). </w:t>
      </w:r>
      <w:r w:rsidRPr="00F70030">
        <w:rPr>
          <w:i/>
          <w:iCs/>
          <w:sz w:val="20"/>
        </w:rPr>
        <w:t>Secondary</w:t>
      </w:r>
      <w:r w:rsidRPr="00F70030">
        <w:rPr>
          <w:sz w:val="20"/>
        </w:rPr>
        <w:t xml:space="preserve"> literature (e.g., books and articles) should be cited principally only insofar as it sheds light on the primary sources. On the other hand, your paper will likely lack depth unless you explore secondary literature. Scholarly works have compiled and sifted centuries of biblical interpretation and considered a wide variety of perspectives, utilizing all the disciplines of the university. Secondary sources must be scholarly (i.e., not “devotional”) and peer-reviewed (i.e., not merely from the Internet). The recommended </w:t>
      </w:r>
      <w:r w:rsidRPr="00F70030">
        <w:rPr>
          <w:i/>
          <w:iCs/>
          <w:sz w:val="20"/>
        </w:rPr>
        <w:t>minimum</w:t>
      </w:r>
      <w:r w:rsidRPr="00F70030">
        <w:rPr>
          <w:sz w:val="20"/>
        </w:rPr>
        <w:t xml:space="preserve"> number of sources for a 100-level course is 3, for a 200-level course is 5, and for a 300/400-level course is 7 (including at least one commentary and one journal article).</w:t>
      </w:r>
    </w:p>
    <w:p w:rsidR="005E5E9B" w:rsidRPr="00F70030" w:rsidRDefault="005E5E9B" w:rsidP="005E5E9B">
      <w:pPr>
        <w:pStyle w:val="D"/>
        <w:rPr>
          <w:sz w:val="20"/>
        </w:rPr>
      </w:pPr>
      <w:r w:rsidRPr="00F70030">
        <w:rPr>
          <w:sz w:val="20"/>
        </w:rPr>
        <w:sym w:font="Symbol" w:char="F0B7"/>
      </w:r>
      <w:r w:rsidRPr="00F70030">
        <w:rPr>
          <w:sz w:val="20"/>
        </w:rPr>
        <w:t xml:space="preserve"> Reading—in the process of researching—</w:t>
      </w:r>
      <w:r w:rsidRPr="00F70030">
        <w:rPr>
          <w:i/>
          <w:iCs/>
          <w:sz w:val="20"/>
        </w:rPr>
        <w:t>must</w:t>
      </w:r>
      <w:r w:rsidRPr="00F70030">
        <w:rPr>
          <w:sz w:val="20"/>
        </w:rPr>
        <w:t xml:space="preserve"> involve highlighting and notetaking, otherwise your research may devolve into nonspecific impressions. I highly recommend marking your reading (using photocopies or electronic PDFs that can be highlighted with Adobe Reader/Acrobat) as this will increase your focus and make the writing of your paper considerably easier.</w:t>
      </w:r>
      <w:r w:rsidRPr="00F70030">
        <w:rPr>
          <w:rStyle w:val="FootnoteReference"/>
          <w:sz w:val="20"/>
        </w:rPr>
        <w:footnoteReference w:id="1"/>
      </w:r>
    </w:p>
    <w:p w:rsidR="005E5E9B" w:rsidRPr="00F70030" w:rsidRDefault="005E5E9B" w:rsidP="005E5E9B">
      <w:pPr>
        <w:pStyle w:val="D"/>
        <w:rPr>
          <w:sz w:val="20"/>
        </w:rPr>
      </w:pPr>
      <w:r w:rsidRPr="00F70030">
        <w:rPr>
          <w:sz w:val="20"/>
        </w:rPr>
        <w:sym w:font="Symbol" w:char="F0B7"/>
      </w:r>
      <w:r w:rsidRPr="00F70030">
        <w:rPr>
          <w:sz w:val="20"/>
        </w:rPr>
        <w:t xml:space="preserve"> Paper Proposal. Students are invited to submit a proposal to the professor for his suggestions, but this is not required (at least two weeks prior to deadline). It should include the proposed topic(s), a preliminary outline and bibliography. The more information students provide, the more feedback they will receive.</w:t>
      </w:r>
    </w:p>
    <w:p w:rsidR="005E5E9B" w:rsidRPr="00F70030" w:rsidRDefault="005E5E9B" w:rsidP="005E5E9B">
      <w:pPr>
        <w:pStyle w:val="D"/>
        <w:rPr>
          <w:sz w:val="20"/>
        </w:rPr>
      </w:pPr>
      <w:r w:rsidRPr="00F70030">
        <w:rPr>
          <w:sz w:val="20"/>
        </w:rPr>
        <w:t xml:space="preserve">4. </w:t>
      </w:r>
      <w:r w:rsidRPr="00F70030">
        <w:rPr>
          <w:sz w:val="20"/>
          <w:u w:val="single"/>
        </w:rPr>
        <w:t>Writing</w:t>
      </w:r>
      <w:r w:rsidRPr="00F70030">
        <w:rPr>
          <w:sz w:val="20"/>
        </w:rPr>
        <w:t>. Do not begin to write until you have finalized your detailed outline in light of your research. A solid paper must have three components:</w:t>
      </w:r>
    </w:p>
    <w:p w:rsidR="005E5E9B" w:rsidRPr="00F70030" w:rsidRDefault="005E5E9B" w:rsidP="005E5E9B">
      <w:pPr>
        <w:pStyle w:val="Series"/>
        <w:rPr>
          <w:sz w:val="20"/>
        </w:rPr>
      </w:pPr>
      <w:r w:rsidRPr="00F70030">
        <w:rPr>
          <w:sz w:val="20"/>
          <w:u w:val="single"/>
        </w:rPr>
        <w:t>Thesis</w:t>
      </w:r>
    </w:p>
    <w:p w:rsidR="005E5E9B" w:rsidRPr="00F70030" w:rsidRDefault="005E5E9B" w:rsidP="005E5E9B">
      <w:pPr>
        <w:pStyle w:val="Series"/>
        <w:rPr>
          <w:sz w:val="20"/>
        </w:rPr>
      </w:pPr>
      <w:r w:rsidRPr="00F70030">
        <w:rPr>
          <w:sz w:val="20"/>
        </w:rPr>
        <w:tab/>
      </w:r>
      <w:r w:rsidRPr="00F70030">
        <w:rPr>
          <w:sz w:val="20"/>
        </w:rPr>
        <w:sym w:font="Symbol" w:char="F0B7"/>
      </w:r>
      <w:r w:rsidRPr="00F70030">
        <w:rPr>
          <w:sz w:val="20"/>
        </w:rPr>
        <w:t xml:space="preserve"> supporting </w:t>
      </w:r>
      <w:r w:rsidRPr="00F70030">
        <w:rPr>
          <w:sz w:val="20"/>
          <w:u w:val="single"/>
        </w:rPr>
        <w:t>Arguments</w:t>
      </w:r>
    </w:p>
    <w:p w:rsidR="005E5E9B" w:rsidRPr="00F70030" w:rsidRDefault="005E5E9B" w:rsidP="005E5E9B">
      <w:pPr>
        <w:pStyle w:val="Series"/>
        <w:rPr>
          <w:sz w:val="20"/>
        </w:rPr>
      </w:pPr>
      <w:r w:rsidRPr="00F70030">
        <w:rPr>
          <w:sz w:val="20"/>
        </w:rPr>
        <w:tab/>
      </w:r>
      <w:r w:rsidRPr="00F70030">
        <w:rPr>
          <w:sz w:val="20"/>
        </w:rPr>
        <w:tab/>
      </w:r>
      <w:r w:rsidRPr="00F70030">
        <w:rPr>
          <w:sz w:val="20"/>
        </w:rPr>
        <w:sym w:font="Symbol" w:char="F0B7"/>
      </w:r>
      <w:r w:rsidRPr="00F70030">
        <w:rPr>
          <w:sz w:val="20"/>
        </w:rPr>
        <w:t xml:space="preserve"> supporting </w:t>
      </w:r>
      <w:r w:rsidRPr="00F70030">
        <w:rPr>
          <w:sz w:val="20"/>
          <w:u w:val="single"/>
        </w:rPr>
        <w:t>Evidence</w:t>
      </w:r>
    </w:p>
    <w:p w:rsidR="005E5E9B" w:rsidRPr="00F70030" w:rsidRDefault="005E5E9B" w:rsidP="005E5E9B">
      <w:pPr>
        <w:pStyle w:val="Series"/>
        <w:rPr>
          <w:sz w:val="20"/>
        </w:rPr>
      </w:pPr>
      <w:r w:rsidRPr="00F70030">
        <w:rPr>
          <w:sz w:val="20"/>
        </w:rPr>
        <w:tab/>
      </w:r>
      <w:r w:rsidRPr="00F70030">
        <w:rPr>
          <w:sz w:val="20"/>
        </w:rPr>
        <w:tab/>
      </w:r>
      <w:r w:rsidRPr="00F70030">
        <w:rPr>
          <w:sz w:val="20"/>
        </w:rPr>
        <w:tab/>
      </w:r>
      <w:r w:rsidRPr="00F70030">
        <w:rPr>
          <w:sz w:val="20"/>
        </w:rPr>
        <w:sym w:font="Symbol" w:char="F0B7"/>
      </w:r>
      <w:r w:rsidRPr="00F70030">
        <w:rPr>
          <w:sz w:val="20"/>
        </w:rPr>
        <w:t xml:space="preserve"> primary literature</w:t>
      </w:r>
    </w:p>
    <w:p w:rsidR="005E5E9B" w:rsidRPr="00F70030" w:rsidRDefault="005E5E9B" w:rsidP="005E5E9B">
      <w:pPr>
        <w:pStyle w:val="Series"/>
        <w:rPr>
          <w:sz w:val="20"/>
        </w:rPr>
      </w:pPr>
      <w:r w:rsidRPr="00F70030">
        <w:rPr>
          <w:sz w:val="20"/>
        </w:rPr>
        <w:tab/>
      </w:r>
      <w:r w:rsidRPr="00F70030">
        <w:rPr>
          <w:sz w:val="20"/>
        </w:rPr>
        <w:tab/>
      </w:r>
      <w:r w:rsidRPr="00F70030">
        <w:rPr>
          <w:sz w:val="20"/>
        </w:rPr>
        <w:tab/>
      </w:r>
      <w:r w:rsidRPr="00F70030">
        <w:rPr>
          <w:sz w:val="20"/>
        </w:rPr>
        <w:sym w:font="Symbol" w:char="F0B7"/>
      </w:r>
      <w:r w:rsidRPr="00F70030">
        <w:rPr>
          <w:sz w:val="20"/>
        </w:rPr>
        <w:t xml:space="preserve"> secondary literature</w:t>
      </w:r>
    </w:p>
    <w:p w:rsidR="005E5E9B" w:rsidRPr="00F70030" w:rsidRDefault="005E5E9B" w:rsidP="005E5E9B">
      <w:pPr>
        <w:pStyle w:val="D"/>
        <w:rPr>
          <w:sz w:val="20"/>
        </w:rPr>
      </w:pPr>
      <w:r w:rsidRPr="00F70030">
        <w:rPr>
          <w:sz w:val="20"/>
        </w:rPr>
        <w:t xml:space="preserve">5. </w:t>
      </w:r>
      <w:r w:rsidRPr="00F70030">
        <w:rPr>
          <w:sz w:val="20"/>
          <w:u w:val="single"/>
        </w:rPr>
        <w:t>Rewriting</w:t>
      </w:r>
      <w:r w:rsidRPr="00F70030">
        <w:rPr>
          <w:sz w:val="20"/>
        </w:rPr>
        <w:t>. There is no such thing as good writing—only good rewriting. The worst way to write is to try write it right the first time! I recommend writing the Introduction last.</w:t>
      </w:r>
      <w:r w:rsidR="002F24ED">
        <w:rPr>
          <w:sz w:val="20"/>
        </w:rPr>
        <w:t xml:space="preserve"> In it you should “hook” the reader and state the “ground rules” of your paper (i.e., specific goals).</w:t>
      </w:r>
    </w:p>
    <w:p w:rsidR="005E5E9B" w:rsidRPr="00F70030" w:rsidRDefault="005E5E9B" w:rsidP="005E5E9B">
      <w:pPr>
        <w:pStyle w:val="D"/>
        <w:rPr>
          <w:sz w:val="20"/>
        </w:rPr>
      </w:pPr>
    </w:p>
    <w:p w:rsidR="005E5E9B" w:rsidRPr="00F70030" w:rsidRDefault="005E5E9B" w:rsidP="005E5E9B">
      <w:pPr>
        <w:pStyle w:val="Heading1"/>
        <w:rPr>
          <w:sz w:val="20"/>
        </w:rPr>
      </w:pPr>
      <w:r w:rsidRPr="00F70030">
        <w:rPr>
          <w:sz w:val="20"/>
        </w:rPr>
        <w:t>Evaluation of the Paper</w:t>
      </w:r>
    </w:p>
    <w:p w:rsidR="005E5E9B" w:rsidRPr="00F70030" w:rsidRDefault="005E5E9B" w:rsidP="005E5E9B">
      <w:pPr>
        <w:pStyle w:val="D"/>
        <w:numPr>
          <w:ilvl w:val="0"/>
          <w:numId w:val="2"/>
        </w:numPr>
        <w:rPr>
          <w:sz w:val="20"/>
        </w:rPr>
      </w:pPr>
      <w:r w:rsidRPr="00F70030">
        <w:rPr>
          <w:sz w:val="20"/>
        </w:rPr>
        <w:t xml:space="preserve">Is there a clear </w:t>
      </w:r>
      <w:r w:rsidRPr="00F70030">
        <w:rPr>
          <w:i/>
          <w:iCs/>
          <w:sz w:val="20"/>
        </w:rPr>
        <w:t>thesis</w:t>
      </w:r>
      <w:r w:rsidRPr="00F70030">
        <w:rPr>
          <w:sz w:val="20"/>
        </w:rPr>
        <w:t xml:space="preserve">/question, supported by </w:t>
      </w:r>
      <w:r w:rsidRPr="00F70030">
        <w:rPr>
          <w:i/>
          <w:iCs/>
          <w:sz w:val="20"/>
        </w:rPr>
        <w:t>arguments</w:t>
      </w:r>
      <w:r w:rsidRPr="00F70030">
        <w:rPr>
          <w:sz w:val="20"/>
        </w:rPr>
        <w:t xml:space="preserve">, which are in turn supported by </w:t>
      </w:r>
      <w:r w:rsidRPr="00F70030">
        <w:rPr>
          <w:i/>
          <w:iCs/>
          <w:sz w:val="20"/>
        </w:rPr>
        <w:t>evidence</w:t>
      </w:r>
      <w:r w:rsidRPr="00F70030">
        <w:rPr>
          <w:sz w:val="20"/>
        </w:rPr>
        <w:t xml:space="preserve"> (esp. primary texts)? Is the essay well organized with clear transitions? Does the Introduction capture the reader’s attention? Does the Conclusion synthesize the paper’s findings and elaborate on their wider implications?</w:t>
      </w:r>
    </w:p>
    <w:p w:rsidR="005E5E9B" w:rsidRPr="00F70030" w:rsidRDefault="005E5E9B" w:rsidP="005E5E9B">
      <w:pPr>
        <w:pStyle w:val="D"/>
        <w:numPr>
          <w:ilvl w:val="0"/>
          <w:numId w:val="2"/>
        </w:numPr>
        <w:rPr>
          <w:sz w:val="20"/>
        </w:rPr>
      </w:pPr>
      <w:r w:rsidRPr="00F70030">
        <w:rPr>
          <w:sz w:val="20"/>
        </w:rPr>
        <w:t xml:space="preserve">Is the paper </w:t>
      </w:r>
      <w:r w:rsidRPr="00F70030">
        <w:rPr>
          <w:i/>
          <w:iCs/>
          <w:sz w:val="20"/>
        </w:rPr>
        <w:t>clear</w:t>
      </w:r>
      <w:r w:rsidRPr="00F70030">
        <w:rPr>
          <w:sz w:val="20"/>
        </w:rPr>
        <w:t xml:space="preserve"> (is it readable?), </w:t>
      </w:r>
      <w:r w:rsidRPr="00F70030">
        <w:rPr>
          <w:i/>
          <w:iCs/>
          <w:sz w:val="20"/>
        </w:rPr>
        <w:t>coherent</w:t>
      </w:r>
      <w:r w:rsidRPr="00F70030">
        <w:rPr>
          <w:sz w:val="20"/>
        </w:rPr>
        <w:t xml:space="preserve"> (does it hang together?), and </w:t>
      </w:r>
      <w:r w:rsidRPr="00F70030">
        <w:rPr>
          <w:i/>
          <w:iCs/>
          <w:sz w:val="20"/>
        </w:rPr>
        <w:t>cogent</w:t>
      </w:r>
      <w:r w:rsidRPr="00F70030">
        <w:rPr>
          <w:sz w:val="20"/>
        </w:rPr>
        <w:t xml:space="preserve"> (is it persuasive?)? Train of thought?</w:t>
      </w:r>
    </w:p>
    <w:p w:rsidR="005E5E9B" w:rsidRPr="00F70030" w:rsidRDefault="005E5E9B" w:rsidP="005E5E9B">
      <w:pPr>
        <w:pStyle w:val="D"/>
        <w:numPr>
          <w:ilvl w:val="0"/>
          <w:numId w:val="2"/>
        </w:numPr>
        <w:rPr>
          <w:sz w:val="20"/>
        </w:rPr>
      </w:pPr>
      <w:r w:rsidRPr="00F70030">
        <w:rPr>
          <w:sz w:val="20"/>
        </w:rPr>
        <w:t xml:space="preserve">Does the student apply the tools and skills taught in the course? Does he/she </w:t>
      </w:r>
      <w:r w:rsidRPr="00F70030">
        <w:rPr>
          <w:i/>
          <w:iCs/>
          <w:sz w:val="20"/>
        </w:rPr>
        <w:t>own</w:t>
      </w:r>
      <w:r w:rsidRPr="00F70030">
        <w:rPr>
          <w:sz w:val="20"/>
        </w:rPr>
        <w:t xml:space="preserve"> (i.e., show mastery of) the argument of the paper, or is it a patchwork of notes from secondary sources?</w:t>
      </w:r>
    </w:p>
    <w:p w:rsidR="005E5E9B" w:rsidRPr="00F70030" w:rsidRDefault="005E5E9B" w:rsidP="005E5E9B">
      <w:pPr>
        <w:pStyle w:val="D"/>
        <w:numPr>
          <w:ilvl w:val="0"/>
          <w:numId w:val="2"/>
        </w:numPr>
        <w:rPr>
          <w:sz w:val="20"/>
        </w:rPr>
      </w:pPr>
      <w:r w:rsidRPr="00F70030">
        <w:rPr>
          <w:sz w:val="20"/>
        </w:rPr>
        <w:t>What is the level of research? Is there depth? Proper documentation? (A paper’s Bibliography is often a telling indicator of its depth and quality.)</w:t>
      </w:r>
    </w:p>
    <w:p w:rsidR="005E5E9B" w:rsidRPr="00F70030" w:rsidRDefault="005E5E9B" w:rsidP="005E5E9B">
      <w:pPr>
        <w:pStyle w:val="D"/>
        <w:numPr>
          <w:ilvl w:val="0"/>
          <w:numId w:val="2"/>
        </w:numPr>
        <w:rPr>
          <w:sz w:val="20"/>
        </w:rPr>
      </w:pPr>
      <w:r w:rsidRPr="00F70030">
        <w:rPr>
          <w:sz w:val="20"/>
        </w:rPr>
        <w:t>Is the paper thoughtful and insightful, or is it superficial?</w:t>
      </w:r>
    </w:p>
    <w:p w:rsidR="005E5E9B" w:rsidRPr="00F70030" w:rsidRDefault="005E5E9B" w:rsidP="005E5E9B">
      <w:pPr>
        <w:pStyle w:val="D"/>
        <w:numPr>
          <w:ilvl w:val="0"/>
          <w:numId w:val="2"/>
        </w:numPr>
        <w:rPr>
          <w:sz w:val="20"/>
        </w:rPr>
      </w:pPr>
      <w:r w:rsidRPr="00F70030">
        <w:rPr>
          <w:sz w:val="20"/>
        </w:rPr>
        <w:t>Does  the student display critical evaluation and creative insight? Is he/she fair to other viewpoints?</w:t>
      </w:r>
    </w:p>
    <w:p w:rsidR="005E5E9B" w:rsidRPr="00F70030" w:rsidRDefault="005E5E9B" w:rsidP="005E5E9B">
      <w:pPr>
        <w:pStyle w:val="D"/>
        <w:numPr>
          <w:ilvl w:val="0"/>
          <w:numId w:val="2"/>
        </w:numPr>
        <w:rPr>
          <w:sz w:val="20"/>
        </w:rPr>
      </w:pPr>
      <w:r w:rsidRPr="00F70030">
        <w:rPr>
          <w:sz w:val="20"/>
        </w:rPr>
        <w:t xml:space="preserve">So what? Is the </w:t>
      </w:r>
      <w:r w:rsidRPr="00F70030">
        <w:rPr>
          <w:i/>
          <w:iCs/>
          <w:sz w:val="20"/>
        </w:rPr>
        <w:t>significance</w:t>
      </w:r>
      <w:r w:rsidRPr="00F70030">
        <w:rPr>
          <w:sz w:val="20"/>
        </w:rPr>
        <w:t xml:space="preserve"> and relevance of the presented information clear?</w:t>
      </w:r>
    </w:p>
    <w:p w:rsidR="005E5E9B" w:rsidRPr="00F70030" w:rsidRDefault="005E5E9B" w:rsidP="005E5E9B">
      <w:pPr>
        <w:pStyle w:val="D"/>
        <w:numPr>
          <w:ilvl w:val="0"/>
          <w:numId w:val="2"/>
        </w:numPr>
        <w:rPr>
          <w:sz w:val="20"/>
        </w:rPr>
      </w:pPr>
      <w:r w:rsidRPr="00F70030">
        <w:rPr>
          <w:sz w:val="20"/>
        </w:rPr>
        <w:t xml:space="preserve">Does the student respect the biblical </w:t>
      </w:r>
      <w:r w:rsidRPr="00F70030">
        <w:rPr>
          <w:i/>
          <w:iCs/>
          <w:sz w:val="20"/>
        </w:rPr>
        <w:t>text in context</w:t>
      </w:r>
      <w:r w:rsidRPr="00F70030">
        <w:rPr>
          <w:sz w:val="20"/>
        </w:rPr>
        <w:t>, examining the OT in its own right before engaging the NT and theological contexts?</w:t>
      </w:r>
    </w:p>
    <w:p w:rsidR="005E5E9B" w:rsidRPr="00F70030" w:rsidRDefault="005E5E9B" w:rsidP="005E5E9B">
      <w:pPr>
        <w:pStyle w:val="D"/>
        <w:numPr>
          <w:ilvl w:val="0"/>
          <w:numId w:val="2"/>
        </w:numPr>
        <w:rPr>
          <w:sz w:val="20"/>
        </w:rPr>
      </w:pPr>
      <w:r w:rsidRPr="00F70030">
        <w:rPr>
          <w:sz w:val="20"/>
        </w:rPr>
        <w:t>Are there mistakes in spelling, grammar, and style?</w:t>
      </w:r>
    </w:p>
    <w:p w:rsidR="00F70030" w:rsidRDefault="00F70030" w:rsidP="00F70030">
      <w:pPr>
        <w:pStyle w:val="Heading1"/>
        <w:rPr>
          <w:rFonts w:cs="Times New Roman"/>
        </w:rPr>
      </w:pPr>
      <w:r w:rsidRPr="00F70030">
        <w:lastRenderedPageBreak/>
        <w:t>Survey of the Steps of Exegesis (</w:t>
      </w:r>
      <w:r>
        <w:rPr>
          <w:rFonts w:cs="Times New Roman"/>
        </w:rPr>
        <w:t>for reference only)</w:t>
      </w:r>
    </w:p>
    <w:p w:rsidR="00443E3F" w:rsidRPr="00443E3F" w:rsidRDefault="00443E3F" w:rsidP="00443E3F">
      <w:pPr>
        <w:pStyle w:val="D"/>
      </w:pPr>
    </w:p>
    <w:p w:rsidR="00F70030" w:rsidRPr="00F70030" w:rsidRDefault="00F70030" w:rsidP="00F70030">
      <w:pPr>
        <w:numPr>
          <w:ilvl w:val="0"/>
          <w:numId w:val="6"/>
        </w:numPr>
        <w:rPr>
          <w:sz w:val="20"/>
        </w:rPr>
      </w:pPr>
      <w:r w:rsidRPr="00F70030">
        <w:rPr>
          <w:sz w:val="20"/>
          <w:u w:val="single"/>
        </w:rPr>
        <w:t>Delimiting a Passage</w:t>
      </w:r>
      <w:r w:rsidRPr="00F70030">
        <w:rPr>
          <w:sz w:val="20"/>
        </w:rPr>
        <w:t>. Read the verses that you would like to focus on and those immediately surrounding it. Look for “markers” that set the passage/paragraph off as a “self-contained” unit.</w:t>
      </w:r>
    </w:p>
    <w:p w:rsidR="00F70030" w:rsidRPr="00F70030" w:rsidRDefault="00F70030" w:rsidP="00F70030">
      <w:pPr>
        <w:numPr>
          <w:ilvl w:val="0"/>
          <w:numId w:val="6"/>
        </w:numPr>
        <w:rPr>
          <w:sz w:val="20"/>
        </w:rPr>
      </w:pPr>
      <w:r w:rsidRPr="00F70030">
        <w:rPr>
          <w:sz w:val="20"/>
          <w:u w:val="single"/>
        </w:rPr>
        <w:t>Translation and Textual Criticism</w:t>
      </w:r>
      <w:r w:rsidRPr="00F70030">
        <w:rPr>
          <w:sz w:val="20"/>
        </w:rPr>
        <w:t>. Ascertain the “original” text and read it closely in Hebrew/Aramaic.</w:t>
      </w:r>
    </w:p>
    <w:p w:rsidR="00F70030" w:rsidRPr="00F70030" w:rsidRDefault="00F70030" w:rsidP="00F70030">
      <w:pPr>
        <w:numPr>
          <w:ilvl w:val="0"/>
          <w:numId w:val="6"/>
        </w:numPr>
        <w:rPr>
          <w:sz w:val="20"/>
        </w:rPr>
      </w:pPr>
      <w:r w:rsidRPr="00F70030">
        <w:rPr>
          <w:sz w:val="20"/>
          <w:u w:val="single"/>
        </w:rPr>
        <w:t>Meditation</w:t>
      </w:r>
      <w:r w:rsidRPr="00F70030">
        <w:rPr>
          <w:sz w:val="20"/>
        </w:rPr>
        <w:t>. In a prayerful manner read the passage aloud to yourself repeatedly and with imagination, emphasizing different words and roles in each reading.</w:t>
      </w:r>
    </w:p>
    <w:p w:rsidR="00F70030" w:rsidRPr="00F70030" w:rsidRDefault="00F70030" w:rsidP="00F70030">
      <w:pPr>
        <w:numPr>
          <w:ilvl w:val="0"/>
          <w:numId w:val="6"/>
        </w:numPr>
        <w:rPr>
          <w:sz w:val="20"/>
        </w:rPr>
      </w:pPr>
      <w:r w:rsidRPr="00F70030">
        <w:rPr>
          <w:sz w:val="20"/>
          <w:u w:val="single"/>
        </w:rPr>
        <w:t>Literary Analysis</w:t>
      </w:r>
      <w:r w:rsidRPr="00F70030">
        <w:rPr>
          <w:sz w:val="20"/>
        </w:rPr>
        <w:t>. Do a “close reading” of the passage, with your attention focused on it in its “final form” and in relative isolation from its context. Unpack its meaning.</w:t>
      </w:r>
    </w:p>
    <w:p w:rsidR="00F70030" w:rsidRPr="00F70030" w:rsidRDefault="00F70030" w:rsidP="00F70030">
      <w:pPr>
        <w:numPr>
          <w:ilvl w:val="1"/>
          <w:numId w:val="6"/>
        </w:numPr>
        <w:rPr>
          <w:sz w:val="20"/>
        </w:rPr>
      </w:pPr>
      <w:r w:rsidRPr="00F70030">
        <w:rPr>
          <w:sz w:val="20"/>
          <w:u w:val="single"/>
        </w:rPr>
        <w:t>Theme</w:t>
      </w:r>
      <w:r w:rsidRPr="00F70030">
        <w:rPr>
          <w:sz w:val="20"/>
        </w:rPr>
        <w:t>. Formulate a (preliminary) thematic statement of the passage.</w:t>
      </w:r>
    </w:p>
    <w:p w:rsidR="00F70030" w:rsidRPr="00F70030" w:rsidRDefault="00F70030" w:rsidP="00F70030">
      <w:pPr>
        <w:numPr>
          <w:ilvl w:val="1"/>
          <w:numId w:val="6"/>
        </w:numPr>
        <w:rPr>
          <w:sz w:val="20"/>
        </w:rPr>
      </w:pPr>
      <w:r w:rsidRPr="00F70030">
        <w:rPr>
          <w:sz w:val="20"/>
          <w:u w:val="single"/>
        </w:rPr>
        <w:t>Structure</w:t>
      </w:r>
      <w:r w:rsidRPr="00F70030">
        <w:rPr>
          <w:sz w:val="20"/>
        </w:rPr>
        <w:t>. Trace the train of thought and plot development from verse to verse, also noting the emotive movement. Making an outline may be helpful.</w:t>
      </w:r>
    </w:p>
    <w:p w:rsidR="00F70030" w:rsidRPr="00F70030" w:rsidRDefault="00F70030" w:rsidP="00F70030">
      <w:pPr>
        <w:numPr>
          <w:ilvl w:val="1"/>
          <w:numId w:val="6"/>
        </w:numPr>
        <w:rPr>
          <w:sz w:val="20"/>
        </w:rPr>
      </w:pPr>
      <w:r w:rsidRPr="00F70030">
        <w:rPr>
          <w:sz w:val="20"/>
          <w:u w:val="single"/>
        </w:rPr>
        <w:t>Genre and Social Setting</w:t>
      </w:r>
      <w:r w:rsidRPr="00F70030">
        <w:rPr>
          <w:sz w:val="20"/>
        </w:rPr>
        <w:t>. Identify the genre and setting of the passage, and note the genre’s basic function and interpretive framework.</w:t>
      </w:r>
    </w:p>
    <w:p w:rsidR="00F70030" w:rsidRPr="00F70030" w:rsidRDefault="00F70030" w:rsidP="00F70030">
      <w:pPr>
        <w:numPr>
          <w:ilvl w:val="1"/>
          <w:numId w:val="6"/>
        </w:numPr>
        <w:rPr>
          <w:sz w:val="20"/>
        </w:rPr>
      </w:pPr>
      <w:r w:rsidRPr="00F70030">
        <w:rPr>
          <w:sz w:val="20"/>
          <w:u w:val="single"/>
        </w:rPr>
        <w:t>Point of View, Characterization, Style, Mood, and Selectivity</w:t>
      </w:r>
      <w:r w:rsidRPr="00F70030">
        <w:rPr>
          <w:sz w:val="20"/>
        </w:rPr>
        <w:t>. Identify the point of view, the form of characterization, the literary style, and mood. Also consider the selectivity of material and plot development.</w:t>
      </w:r>
    </w:p>
    <w:p w:rsidR="00F70030" w:rsidRPr="00F70030" w:rsidRDefault="00F70030" w:rsidP="00F70030">
      <w:pPr>
        <w:numPr>
          <w:ilvl w:val="1"/>
          <w:numId w:val="6"/>
        </w:numPr>
        <w:rPr>
          <w:sz w:val="20"/>
        </w:rPr>
      </w:pPr>
      <w:r w:rsidRPr="00F70030">
        <w:rPr>
          <w:sz w:val="20"/>
          <w:u w:val="single"/>
        </w:rPr>
        <w:t>Grammar and Word Analysis</w:t>
      </w:r>
      <w:r w:rsidRPr="00F70030">
        <w:rPr>
          <w:sz w:val="20"/>
        </w:rPr>
        <w:t>.</w:t>
      </w:r>
    </w:p>
    <w:p w:rsidR="00F70030" w:rsidRPr="00F70030" w:rsidRDefault="00F70030" w:rsidP="00F70030">
      <w:pPr>
        <w:numPr>
          <w:ilvl w:val="2"/>
          <w:numId w:val="6"/>
        </w:numPr>
        <w:rPr>
          <w:sz w:val="20"/>
        </w:rPr>
      </w:pPr>
      <w:r w:rsidRPr="00F70030">
        <w:rPr>
          <w:sz w:val="20"/>
          <w:u w:val="single"/>
        </w:rPr>
        <w:t>Grammar</w:t>
      </w:r>
      <w:r w:rsidRPr="00F70030">
        <w:rPr>
          <w:sz w:val="20"/>
        </w:rPr>
        <w:t>. Be clear on the grammatical construction of sentences, noting connectives, main and subordinate clauses, subjects (divine, human), objects, verbs (declarative, imperative, etc.), and modifiers (adjectives and adverbs).</w:t>
      </w:r>
    </w:p>
    <w:p w:rsidR="00F70030" w:rsidRPr="00F70030" w:rsidRDefault="00F70030" w:rsidP="00F70030">
      <w:pPr>
        <w:numPr>
          <w:ilvl w:val="2"/>
          <w:numId w:val="6"/>
        </w:numPr>
        <w:rPr>
          <w:sz w:val="20"/>
        </w:rPr>
      </w:pPr>
      <w:r w:rsidRPr="00F70030">
        <w:rPr>
          <w:sz w:val="20"/>
          <w:u w:val="single"/>
        </w:rPr>
        <w:t>Figures of Speech</w:t>
      </w:r>
      <w:r w:rsidRPr="00F70030">
        <w:rPr>
          <w:sz w:val="20"/>
        </w:rPr>
        <w:t>. Note whether words are meant to be read literally or figuratively, and identify the figures of speech.</w:t>
      </w:r>
    </w:p>
    <w:p w:rsidR="00F70030" w:rsidRPr="00F70030" w:rsidRDefault="00F70030" w:rsidP="00F70030">
      <w:pPr>
        <w:numPr>
          <w:ilvl w:val="2"/>
          <w:numId w:val="6"/>
        </w:numPr>
        <w:rPr>
          <w:sz w:val="20"/>
        </w:rPr>
      </w:pPr>
      <w:r w:rsidRPr="00F70030">
        <w:rPr>
          <w:sz w:val="20"/>
          <w:u w:val="single"/>
        </w:rPr>
        <w:t>Word Studies</w:t>
      </w:r>
      <w:r w:rsidRPr="00F70030">
        <w:rPr>
          <w:sz w:val="20"/>
        </w:rPr>
        <w:t>. By using a concordance do word studies to clarify the meaning of terms that are important and/or vague.</w:t>
      </w:r>
    </w:p>
    <w:p w:rsidR="00F70030" w:rsidRPr="00F70030" w:rsidRDefault="00F70030" w:rsidP="00F70030">
      <w:pPr>
        <w:numPr>
          <w:ilvl w:val="0"/>
          <w:numId w:val="6"/>
        </w:numPr>
        <w:rPr>
          <w:sz w:val="20"/>
        </w:rPr>
      </w:pPr>
      <w:r w:rsidRPr="00F70030">
        <w:rPr>
          <w:sz w:val="20"/>
          <w:u w:val="single"/>
        </w:rPr>
        <w:t>Context</w:t>
      </w:r>
      <w:r w:rsidRPr="00F70030">
        <w:rPr>
          <w:sz w:val="20"/>
        </w:rPr>
        <w:t>.</w:t>
      </w:r>
    </w:p>
    <w:p w:rsidR="00F70030" w:rsidRPr="00F70030" w:rsidRDefault="00F70030" w:rsidP="00F70030">
      <w:pPr>
        <w:numPr>
          <w:ilvl w:val="1"/>
          <w:numId w:val="6"/>
        </w:numPr>
        <w:rPr>
          <w:sz w:val="20"/>
        </w:rPr>
      </w:pPr>
      <w:r w:rsidRPr="00F70030">
        <w:rPr>
          <w:sz w:val="20"/>
          <w:u w:val="single"/>
        </w:rPr>
        <w:t>Literary and Generic</w:t>
      </w:r>
      <w:r w:rsidRPr="00F70030">
        <w:rPr>
          <w:sz w:val="20"/>
        </w:rPr>
        <w:t>. What light is shed by the immediate and broader verbal context within the biblical book? Also, compare other passages of the same genre, noting similarities and uniquenesses.</w:t>
      </w:r>
    </w:p>
    <w:p w:rsidR="00F70030" w:rsidRPr="00F70030" w:rsidRDefault="00F70030" w:rsidP="00F70030">
      <w:pPr>
        <w:numPr>
          <w:ilvl w:val="1"/>
          <w:numId w:val="6"/>
        </w:numPr>
        <w:rPr>
          <w:sz w:val="20"/>
        </w:rPr>
      </w:pPr>
      <w:r w:rsidRPr="00F70030">
        <w:rPr>
          <w:sz w:val="20"/>
          <w:u w:val="single"/>
        </w:rPr>
        <w:t>Historical and Sociological</w:t>
      </w:r>
      <w:r w:rsidRPr="00F70030">
        <w:rPr>
          <w:sz w:val="20"/>
        </w:rPr>
        <w:t>. Using biblical and extra-biblical materials describe the historical background of both the events recorded and the literary document itself. Also consider the sociological background, especially the social circles represented (e.g. priests, sages).</w:t>
      </w:r>
    </w:p>
    <w:p w:rsidR="00F70030" w:rsidRPr="00F70030" w:rsidRDefault="00F70030" w:rsidP="00F70030">
      <w:pPr>
        <w:numPr>
          <w:ilvl w:val="1"/>
          <w:numId w:val="6"/>
        </w:numPr>
        <w:rPr>
          <w:sz w:val="20"/>
        </w:rPr>
      </w:pPr>
      <w:r w:rsidRPr="00F70030">
        <w:rPr>
          <w:sz w:val="20"/>
          <w:u w:val="single"/>
        </w:rPr>
        <w:t>Traditional</w:t>
      </w:r>
      <w:r w:rsidRPr="00F70030">
        <w:rPr>
          <w:sz w:val="20"/>
        </w:rPr>
        <w:t>. Study the traditions (e.g. exodus, Zion, Messiah) to which the passage alludes.</w:t>
      </w:r>
    </w:p>
    <w:p w:rsidR="00F70030" w:rsidRPr="00F70030" w:rsidRDefault="00F70030" w:rsidP="00F70030">
      <w:pPr>
        <w:numPr>
          <w:ilvl w:val="1"/>
          <w:numId w:val="6"/>
        </w:numPr>
        <w:rPr>
          <w:sz w:val="20"/>
        </w:rPr>
      </w:pPr>
      <w:r w:rsidRPr="00F70030">
        <w:rPr>
          <w:sz w:val="20"/>
          <w:u w:val="single"/>
        </w:rPr>
        <w:t>Intertextual/Canonical</w:t>
      </w:r>
      <w:r w:rsidRPr="00F70030">
        <w:rPr>
          <w:sz w:val="20"/>
        </w:rPr>
        <w:t xml:space="preserve"> (literary echoes). Does this passage echo and clarify earlier passages? Is it echoed and developed in later passages? What does this passage mean in the context of the biblical canon?</w:t>
      </w:r>
    </w:p>
    <w:p w:rsidR="00F70030" w:rsidRPr="00F70030" w:rsidRDefault="00F70030" w:rsidP="00F70030">
      <w:pPr>
        <w:numPr>
          <w:ilvl w:val="1"/>
          <w:numId w:val="6"/>
        </w:numPr>
        <w:rPr>
          <w:sz w:val="20"/>
        </w:rPr>
      </w:pPr>
      <w:r w:rsidRPr="00F70030">
        <w:rPr>
          <w:sz w:val="20"/>
          <w:u w:val="single"/>
        </w:rPr>
        <w:t>Biblical theological</w:t>
      </w:r>
      <w:r w:rsidRPr="00F70030">
        <w:rPr>
          <w:sz w:val="20"/>
        </w:rPr>
        <w:t xml:space="preserve"> (conceptual connections). What are the theology, spirituality, and world view reflected in the passage? How do they compare with other views in the Bible? How does the ancient writer’s way of thinking differ from your own?</w:t>
      </w:r>
    </w:p>
    <w:p w:rsidR="00F70030" w:rsidRPr="00F70030" w:rsidRDefault="00F70030" w:rsidP="00F70030">
      <w:pPr>
        <w:numPr>
          <w:ilvl w:val="1"/>
          <w:numId w:val="6"/>
        </w:numPr>
        <w:rPr>
          <w:sz w:val="20"/>
        </w:rPr>
      </w:pPr>
      <w:r w:rsidRPr="00F70030">
        <w:rPr>
          <w:sz w:val="20"/>
          <w:u w:val="single"/>
        </w:rPr>
        <w:t>Extra-biblical and Cultural (ANE)</w:t>
      </w:r>
      <w:r w:rsidRPr="00F70030">
        <w:rPr>
          <w:sz w:val="20"/>
        </w:rPr>
        <w:t>. What parallels exist in other literatures, and what is the nature of their relationship (e.g. literary, conceptual; borrowing, polemical)? What light do these literatures shed on any of the items above?</w:t>
      </w:r>
    </w:p>
    <w:p w:rsidR="00F70030" w:rsidRPr="00F70030" w:rsidRDefault="00F70030" w:rsidP="00F70030">
      <w:pPr>
        <w:numPr>
          <w:ilvl w:val="0"/>
          <w:numId w:val="6"/>
        </w:numPr>
        <w:rPr>
          <w:sz w:val="20"/>
        </w:rPr>
      </w:pPr>
      <w:r w:rsidRPr="00F70030">
        <w:rPr>
          <w:sz w:val="20"/>
          <w:u w:val="single"/>
        </w:rPr>
        <w:t>Compositional History</w:t>
      </w:r>
      <w:r w:rsidRPr="00F70030">
        <w:rPr>
          <w:sz w:val="20"/>
        </w:rPr>
        <w:t xml:space="preserve">. What light does the reshaping of the passage shed on its re-application in </w:t>
      </w:r>
      <w:r>
        <w:rPr>
          <w:sz w:val="20"/>
        </w:rPr>
        <w:t>later</w:t>
      </w:r>
      <w:r w:rsidRPr="00F70030">
        <w:rPr>
          <w:sz w:val="20"/>
        </w:rPr>
        <w:t xml:space="preserve"> contexts?</w:t>
      </w:r>
    </w:p>
    <w:p w:rsidR="00F70030" w:rsidRPr="00F70030" w:rsidRDefault="00F70030" w:rsidP="00F70030">
      <w:pPr>
        <w:numPr>
          <w:ilvl w:val="1"/>
          <w:numId w:val="6"/>
        </w:numPr>
        <w:rPr>
          <w:sz w:val="20"/>
        </w:rPr>
      </w:pPr>
      <w:r w:rsidRPr="00F70030">
        <w:rPr>
          <w:sz w:val="20"/>
          <w:u w:val="single"/>
        </w:rPr>
        <w:t>Oral Transmission</w:t>
      </w:r>
      <w:r w:rsidRPr="00F70030">
        <w:rPr>
          <w:sz w:val="20"/>
        </w:rPr>
        <w:t>. If the passage was composed and transmitted orally, how did this process shape its development?</w:t>
      </w:r>
    </w:p>
    <w:p w:rsidR="00F70030" w:rsidRPr="00F70030" w:rsidRDefault="00F70030" w:rsidP="00F70030">
      <w:pPr>
        <w:numPr>
          <w:ilvl w:val="1"/>
          <w:numId w:val="6"/>
        </w:numPr>
        <w:rPr>
          <w:sz w:val="20"/>
        </w:rPr>
      </w:pPr>
      <w:r w:rsidRPr="00F70030">
        <w:rPr>
          <w:sz w:val="20"/>
          <w:u w:val="single"/>
        </w:rPr>
        <w:t>Literary Sources and Redaction</w:t>
      </w:r>
      <w:r w:rsidRPr="00F70030">
        <w:rPr>
          <w:sz w:val="20"/>
        </w:rPr>
        <w:t>. If the passage was composed from earlier written sources, what were their origins and functions? How did the redactor/editor shape his material?</w:t>
      </w:r>
    </w:p>
    <w:p w:rsidR="00F70030" w:rsidRPr="00F70030" w:rsidRDefault="00F70030" w:rsidP="00F70030">
      <w:pPr>
        <w:numPr>
          <w:ilvl w:val="0"/>
          <w:numId w:val="6"/>
        </w:numPr>
        <w:rPr>
          <w:sz w:val="20"/>
        </w:rPr>
      </w:pPr>
      <w:r w:rsidRPr="00F70030">
        <w:rPr>
          <w:sz w:val="20"/>
          <w:u w:val="single"/>
        </w:rPr>
        <w:t>Theological Implications and Application</w:t>
      </w:r>
      <w:r w:rsidRPr="00F70030">
        <w:rPr>
          <w:sz w:val="20"/>
        </w:rPr>
        <w:t xml:space="preserve">. While the preceding emphasizes what the text </w:t>
      </w:r>
      <w:r w:rsidRPr="00F70030">
        <w:rPr>
          <w:i/>
          <w:sz w:val="20"/>
        </w:rPr>
        <w:t>meant</w:t>
      </w:r>
      <w:r w:rsidRPr="00F70030">
        <w:rPr>
          <w:sz w:val="20"/>
        </w:rPr>
        <w:t xml:space="preserve">, this step focuses on what it </w:t>
      </w:r>
      <w:r w:rsidRPr="00F70030">
        <w:rPr>
          <w:i/>
          <w:sz w:val="20"/>
        </w:rPr>
        <w:t>means</w:t>
      </w:r>
      <w:r w:rsidRPr="00F70030">
        <w:rPr>
          <w:sz w:val="20"/>
        </w:rPr>
        <w:t>. What general principles may be derived from this passage? Apply the passage to the modern context. Determine the points of contact and dissimilarity between the biblical and modern contexts. Seek to identify what is culturally relative and what is theologically binding.</w:t>
      </w:r>
    </w:p>
    <w:p w:rsidR="00F70030" w:rsidRPr="00F70030" w:rsidRDefault="00F70030" w:rsidP="00F70030">
      <w:pPr>
        <w:numPr>
          <w:ilvl w:val="0"/>
          <w:numId w:val="6"/>
        </w:numPr>
        <w:rPr>
          <w:sz w:val="20"/>
        </w:rPr>
      </w:pPr>
      <w:r w:rsidRPr="00F70030">
        <w:rPr>
          <w:sz w:val="20"/>
          <w:u w:val="single"/>
        </w:rPr>
        <w:t>Secondary Literature</w:t>
      </w:r>
      <w:r w:rsidRPr="00F70030">
        <w:rPr>
          <w:sz w:val="20"/>
        </w:rPr>
        <w:t>.</w:t>
      </w:r>
    </w:p>
    <w:p w:rsidR="00F70030" w:rsidRPr="00F70030" w:rsidRDefault="00F70030" w:rsidP="00F70030">
      <w:pPr>
        <w:numPr>
          <w:ilvl w:val="1"/>
          <w:numId w:val="6"/>
        </w:numPr>
        <w:rPr>
          <w:sz w:val="20"/>
        </w:rPr>
      </w:pPr>
      <w:r w:rsidRPr="00F70030">
        <w:rPr>
          <w:sz w:val="20"/>
        </w:rPr>
        <w:t>Consult leading commentaries, reference works, and journal articles.</w:t>
      </w:r>
    </w:p>
    <w:p w:rsidR="00F70030" w:rsidRPr="00F70030" w:rsidRDefault="00F70030" w:rsidP="00F70030">
      <w:pPr>
        <w:numPr>
          <w:ilvl w:val="1"/>
          <w:numId w:val="6"/>
        </w:numPr>
        <w:rPr>
          <w:sz w:val="20"/>
        </w:rPr>
      </w:pPr>
      <w:r w:rsidRPr="00F70030">
        <w:rPr>
          <w:sz w:val="20"/>
        </w:rPr>
        <w:t>History of Interpretation. Deliberately consult older and ancient interpretations, Jewish and Christian.</w:t>
      </w:r>
    </w:p>
    <w:sectPr w:rsidR="00F70030" w:rsidRPr="00F70030" w:rsidSect="00110BC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5B7B" w:rsidRDefault="008D5B7B" w:rsidP="005E5E9B">
      <w:r>
        <w:separator/>
      </w:r>
    </w:p>
  </w:endnote>
  <w:endnote w:type="continuationSeparator" w:id="0">
    <w:p w:rsidR="008D5B7B" w:rsidRDefault="008D5B7B" w:rsidP="005E5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BL Hebrew">
    <w:altName w:val="Times New Roman"/>
    <w:charset w:val="00"/>
    <w:family w:val="auto"/>
    <w:pitch w:val="variable"/>
    <w:sig w:usb0="8000086F" w:usb1="4000204A"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5B7B" w:rsidRDefault="008D5B7B" w:rsidP="005E5E9B">
      <w:r>
        <w:separator/>
      </w:r>
    </w:p>
  </w:footnote>
  <w:footnote w:type="continuationSeparator" w:id="0">
    <w:p w:rsidR="008D5B7B" w:rsidRDefault="008D5B7B" w:rsidP="005E5E9B">
      <w:r>
        <w:continuationSeparator/>
      </w:r>
    </w:p>
  </w:footnote>
  <w:footnote w:id="1">
    <w:p w:rsidR="005E5E9B" w:rsidRDefault="005E5E9B" w:rsidP="005E5E9B">
      <w:pPr>
        <w:pStyle w:val="FootnoteText"/>
      </w:pPr>
      <w:r>
        <w:rPr>
          <w:rStyle w:val="FootnoteReference"/>
        </w:rPr>
        <w:footnoteRef/>
      </w:r>
      <w:r>
        <w:t xml:space="preserve"> I highly recommend Zotero (</w:t>
      </w:r>
      <w:hyperlink r:id="rId1" w:history="1">
        <w:r w:rsidRPr="006754EC">
          <w:rPr>
            <w:rStyle w:val="Hyperlink"/>
          </w:rPr>
          <w:t>http://www.zotero.org/</w:t>
        </w:r>
      </w:hyperlink>
      <w:r>
        <w:t xml:space="preserve"> ), an amazing, free program for downloading and organizing your own PDF library. This tool also has add-ins for Microsoft Word that can automatically insert footnote citations and a bibliography according to your preferred format (e.g., SBL, MLA, APA).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0"/>
    <w:multiLevelType w:val="multilevel"/>
    <w:tmpl w:val="0000000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27C13E2D"/>
    <w:multiLevelType w:val="hybridMultilevel"/>
    <w:tmpl w:val="18A26E32"/>
    <w:lvl w:ilvl="0" w:tplc="10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B5536E"/>
    <w:multiLevelType w:val="hybridMultilevel"/>
    <w:tmpl w:val="EFC89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1D6841"/>
    <w:multiLevelType w:val="hybridMultilevel"/>
    <w:tmpl w:val="80A6B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6E25CB"/>
    <w:multiLevelType w:val="multilevel"/>
    <w:tmpl w:val="2D963344"/>
    <w:styleLink w:val="Bulletleftmargin"/>
    <w:lvl w:ilvl="0">
      <w:start w:val="1"/>
      <w:numFmt w:val="bullet"/>
      <w:lvlText w:val=""/>
      <w:lvlJc w:val="left"/>
      <w:pPr>
        <w:ind w:left="360" w:hanging="360"/>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6D0E73AB"/>
    <w:multiLevelType w:val="hybridMultilevel"/>
    <w:tmpl w:val="752ED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3052CF71-8A8F-45E1-8D41-451E1353C571}"/>
    <w:docVar w:name="dgnword-eventsink" w:val="322381944"/>
  </w:docVars>
  <w:rsids>
    <w:rsidRoot w:val="005E5E9B"/>
    <w:rsid w:val="0000706F"/>
    <w:rsid w:val="000904E2"/>
    <w:rsid w:val="00110BC5"/>
    <w:rsid w:val="00112B6B"/>
    <w:rsid w:val="001F5AB9"/>
    <w:rsid w:val="00203876"/>
    <w:rsid w:val="00262FA9"/>
    <w:rsid w:val="002A2065"/>
    <w:rsid w:val="002F24ED"/>
    <w:rsid w:val="002F6523"/>
    <w:rsid w:val="0030676F"/>
    <w:rsid w:val="003233E0"/>
    <w:rsid w:val="00326B56"/>
    <w:rsid w:val="00353F9A"/>
    <w:rsid w:val="003B0098"/>
    <w:rsid w:val="003E6F9F"/>
    <w:rsid w:val="00443E3F"/>
    <w:rsid w:val="00472912"/>
    <w:rsid w:val="0047325C"/>
    <w:rsid w:val="004C0C36"/>
    <w:rsid w:val="004D4CF8"/>
    <w:rsid w:val="004E06E3"/>
    <w:rsid w:val="00506201"/>
    <w:rsid w:val="0055292E"/>
    <w:rsid w:val="00574467"/>
    <w:rsid w:val="005D0E99"/>
    <w:rsid w:val="005E5E9B"/>
    <w:rsid w:val="00607CE4"/>
    <w:rsid w:val="00631E79"/>
    <w:rsid w:val="0066210C"/>
    <w:rsid w:val="0070390C"/>
    <w:rsid w:val="00766D1E"/>
    <w:rsid w:val="007858A5"/>
    <w:rsid w:val="007C72F0"/>
    <w:rsid w:val="007F0E61"/>
    <w:rsid w:val="008A31C8"/>
    <w:rsid w:val="008D5B7B"/>
    <w:rsid w:val="00922344"/>
    <w:rsid w:val="009707FA"/>
    <w:rsid w:val="009A5F5F"/>
    <w:rsid w:val="009D1EBF"/>
    <w:rsid w:val="009D70C9"/>
    <w:rsid w:val="00A417EC"/>
    <w:rsid w:val="00A50315"/>
    <w:rsid w:val="00AA6BA4"/>
    <w:rsid w:val="00AB3923"/>
    <w:rsid w:val="00AF4A90"/>
    <w:rsid w:val="00AF625D"/>
    <w:rsid w:val="00B4455B"/>
    <w:rsid w:val="00BD4DEA"/>
    <w:rsid w:val="00C977E2"/>
    <w:rsid w:val="00CC2912"/>
    <w:rsid w:val="00CF3657"/>
    <w:rsid w:val="00D3701C"/>
    <w:rsid w:val="00D612F9"/>
    <w:rsid w:val="00E03F2E"/>
    <w:rsid w:val="00E367F0"/>
    <w:rsid w:val="00EC04D7"/>
    <w:rsid w:val="00EE2418"/>
    <w:rsid w:val="00F45A9E"/>
    <w:rsid w:val="00F70030"/>
    <w:rsid w:val="00FD4565"/>
  </w:rsids>
  <m:mathPr>
    <m:mathFont m:val="Cambria Math"/>
    <m:brkBin m:val="before"/>
    <m:brkBinSub m:val="--"/>
    <m:smallFrac m:val="0"/>
    <m:dispDef/>
    <m:lMargin m:val="0"/>
    <m:rMargin m:val="0"/>
    <m:defJc m:val="centerGroup"/>
    <m:wrapIndent m:val="1440"/>
    <m:intLim m:val="subSup"/>
    <m:naryLim m:val="undOvr"/>
  </m:mathPr>
  <w:themeFontLang w:val="en-CA"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54D3AC8-6A0B-4181-92AA-5EC44B94A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325C"/>
    <w:rPr>
      <w:rFonts w:cs="SBL Hebrew"/>
      <w:sz w:val="24"/>
      <w:szCs w:val="28"/>
      <w:lang w:val="en-US" w:eastAsia="en-US" w:bidi="he-IL"/>
    </w:rPr>
  </w:style>
  <w:style w:type="paragraph" w:styleId="Heading1">
    <w:name w:val="heading 1"/>
    <w:basedOn w:val="Normal"/>
    <w:next w:val="D"/>
    <w:link w:val="Heading1Char"/>
    <w:qFormat/>
    <w:rsid w:val="009D70C9"/>
    <w:pPr>
      <w:keepNext/>
      <w:keepLines/>
      <w:ind w:left="720" w:hanging="720"/>
      <w:outlineLvl w:val="0"/>
    </w:pPr>
    <w:rPr>
      <w:b/>
    </w:rPr>
  </w:style>
  <w:style w:type="paragraph" w:styleId="Heading2">
    <w:name w:val="heading 2"/>
    <w:basedOn w:val="Heading1"/>
    <w:next w:val="D"/>
    <w:qFormat/>
    <w:rsid w:val="004D4CF8"/>
    <w:pPr>
      <w:outlineLvl w:val="1"/>
    </w:pPr>
  </w:style>
  <w:style w:type="paragraph" w:styleId="Heading3">
    <w:name w:val="heading 3"/>
    <w:basedOn w:val="Heading1"/>
    <w:next w:val="D"/>
    <w:qFormat/>
    <w:rsid w:val="004D4CF8"/>
    <w:pPr>
      <w:ind w:left="1440" w:hanging="1440"/>
      <w:outlineLvl w:val="2"/>
    </w:pPr>
  </w:style>
  <w:style w:type="paragraph" w:styleId="Heading4">
    <w:name w:val="heading 4"/>
    <w:basedOn w:val="Heading1"/>
    <w:next w:val="D"/>
    <w:qFormat/>
    <w:rsid w:val="004D4CF8"/>
    <w:pPr>
      <w:ind w:left="1440" w:hanging="144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
    <w:name w:val="D"/>
    <w:aliases w:val="Draft"/>
    <w:basedOn w:val="Normal"/>
    <w:rsid w:val="009D70C9"/>
    <w:pPr>
      <w:ind w:left="180" w:hanging="180"/>
    </w:pPr>
  </w:style>
  <w:style w:type="paragraph" w:customStyle="1" w:styleId="Draft">
    <w:name w:val="/Draft"/>
    <w:basedOn w:val="D"/>
    <w:rsid w:val="00326B56"/>
    <w:pPr>
      <w:pBdr>
        <w:left w:val="single" w:sz="6" w:space="0" w:color="auto"/>
      </w:pBdr>
    </w:pPr>
    <w:rPr>
      <w:vanish/>
      <w:sz w:val="20"/>
    </w:rPr>
  </w:style>
  <w:style w:type="paragraph" w:customStyle="1" w:styleId="Biblio">
    <w:name w:val="Biblio"/>
    <w:basedOn w:val="Normal"/>
    <w:rsid w:val="009D70C9"/>
    <w:pPr>
      <w:ind w:left="360" w:hanging="360"/>
    </w:pPr>
  </w:style>
  <w:style w:type="paragraph" w:customStyle="1" w:styleId="Chart2">
    <w:name w:val="Chart 2"/>
    <w:basedOn w:val="Normal"/>
    <w:rsid w:val="00AB3923"/>
    <w:pPr>
      <w:ind w:left="80" w:hanging="80"/>
    </w:pPr>
    <w:rPr>
      <w:sz w:val="20"/>
      <w:szCs w:val="24"/>
    </w:rPr>
  </w:style>
  <w:style w:type="paragraph" w:styleId="DocumentMap">
    <w:name w:val="Document Map"/>
    <w:basedOn w:val="Normal"/>
    <w:semiHidden/>
    <w:rsid w:val="004D4CF8"/>
    <w:pPr>
      <w:shd w:val="clear" w:color="auto" w:fill="000080"/>
    </w:pPr>
    <w:rPr>
      <w:rFonts w:ascii="Arial Narrow" w:hAnsi="Arial Narrow" w:cs="Tahoma"/>
      <w:sz w:val="20"/>
    </w:rPr>
  </w:style>
  <w:style w:type="paragraph" w:styleId="FootnoteText">
    <w:name w:val="footnote text"/>
    <w:basedOn w:val="Normal"/>
    <w:link w:val="FootnoteTextChar"/>
    <w:semiHidden/>
    <w:rsid w:val="00AB3923"/>
    <w:pPr>
      <w:ind w:firstLine="360"/>
    </w:pPr>
    <w:rPr>
      <w:sz w:val="20"/>
      <w:szCs w:val="24"/>
    </w:rPr>
  </w:style>
  <w:style w:type="paragraph" w:customStyle="1" w:styleId="Manu">
    <w:name w:val="Manu"/>
    <w:basedOn w:val="Normal"/>
    <w:rsid w:val="009D70C9"/>
  </w:style>
  <w:style w:type="paragraph" w:customStyle="1" w:styleId="OutBib">
    <w:name w:val="Out.Bib"/>
    <w:basedOn w:val="Normal"/>
    <w:rsid w:val="009D70C9"/>
    <w:pPr>
      <w:tabs>
        <w:tab w:val="left" w:pos="180"/>
        <w:tab w:val="left" w:pos="360"/>
      </w:tabs>
      <w:ind w:left="1800" w:hanging="1800"/>
    </w:pPr>
  </w:style>
  <w:style w:type="paragraph" w:styleId="PlainText">
    <w:name w:val="Plain Text"/>
    <w:basedOn w:val="Normal"/>
    <w:rsid w:val="009D70C9"/>
    <w:rPr>
      <w:rFonts w:eastAsia="Times"/>
    </w:rPr>
  </w:style>
  <w:style w:type="paragraph" w:styleId="Quote">
    <w:name w:val="Quote"/>
    <w:basedOn w:val="Normal"/>
    <w:qFormat/>
    <w:rsid w:val="009D70C9"/>
    <w:pPr>
      <w:ind w:left="720" w:right="720"/>
    </w:pPr>
  </w:style>
  <w:style w:type="paragraph" w:customStyle="1" w:styleId="Rubric1">
    <w:name w:val="Rubric 1"/>
    <w:basedOn w:val="Normal"/>
    <w:next w:val="D"/>
    <w:rsid w:val="009D70C9"/>
    <w:pPr>
      <w:keepNext/>
      <w:keepLines/>
      <w:jc w:val="center"/>
    </w:pPr>
    <w:rPr>
      <w:smallCaps/>
      <w:u w:val="double"/>
    </w:rPr>
  </w:style>
  <w:style w:type="paragraph" w:customStyle="1" w:styleId="Rubric2">
    <w:name w:val="Rubric 2"/>
    <w:basedOn w:val="Rubric1"/>
    <w:next w:val="D"/>
    <w:rsid w:val="004D4CF8"/>
    <w:rPr>
      <w:i/>
      <w:u w:val="none"/>
    </w:rPr>
  </w:style>
  <w:style w:type="paragraph" w:customStyle="1" w:styleId="Rubric3">
    <w:name w:val="Rubric 3"/>
    <w:basedOn w:val="Rubric1"/>
    <w:next w:val="D"/>
    <w:rsid w:val="004D4CF8"/>
    <w:pPr>
      <w:jc w:val="left"/>
    </w:pPr>
  </w:style>
  <w:style w:type="paragraph" w:customStyle="1" w:styleId="Rubric4">
    <w:name w:val="Rubric 4"/>
    <w:basedOn w:val="Rubric1"/>
    <w:next w:val="D"/>
    <w:rsid w:val="004D4CF8"/>
    <w:pPr>
      <w:jc w:val="left"/>
    </w:pPr>
    <w:rPr>
      <w:i/>
      <w:u w:val="none"/>
    </w:rPr>
  </w:style>
  <w:style w:type="paragraph" w:customStyle="1" w:styleId="Series">
    <w:name w:val="Series"/>
    <w:basedOn w:val="Normal"/>
    <w:rsid w:val="009D70C9"/>
    <w:pPr>
      <w:ind w:left="1160" w:hanging="440"/>
    </w:pPr>
  </w:style>
  <w:style w:type="paragraph" w:styleId="Title">
    <w:name w:val="Title"/>
    <w:basedOn w:val="Normal"/>
    <w:next w:val="D"/>
    <w:link w:val="TitleChar"/>
    <w:qFormat/>
    <w:rsid w:val="009D70C9"/>
    <w:pPr>
      <w:keepNext/>
      <w:keepLines/>
      <w:pBdr>
        <w:top w:val="single" w:sz="6" w:space="0" w:color="auto" w:shadow="1"/>
        <w:left w:val="single" w:sz="6" w:space="0" w:color="auto" w:shadow="1"/>
        <w:bottom w:val="single" w:sz="6" w:space="0" w:color="auto" w:shadow="1"/>
        <w:right w:val="single" w:sz="6" w:space="0" w:color="auto" w:shadow="1"/>
        <w:between w:val="single" w:sz="6" w:space="0" w:color="auto"/>
      </w:pBdr>
      <w:ind w:left="1440" w:right="1440"/>
      <w:jc w:val="center"/>
    </w:pPr>
    <w:rPr>
      <w:b/>
    </w:rPr>
  </w:style>
  <w:style w:type="paragraph" w:customStyle="1" w:styleId="Verse">
    <w:name w:val="Verse"/>
    <w:basedOn w:val="Normal"/>
    <w:rsid w:val="009D70C9"/>
    <w:pPr>
      <w:tabs>
        <w:tab w:val="right" w:pos="1440"/>
        <w:tab w:val="left" w:pos="1800"/>
      </w:tabs>
      <w:ind w:left="2160" w:hanging="2160"/>
    </w:pPr>
  </w:style>
  <w:style w:type="paragraph" w:customStyle="1" w:styleId="draft0">
    <w:name w:val="draft"/>
    <w:aliases w:val="rough"/>
    <w:basedOn w:val="D"/>
    <w:rsid w:val="00FD4565"/>
    <w:pPr>
      <w:pBdr>
        <w:left w:val="single" w:sz="6" w:space="4" w:color="auto"/>
        <w:right w:val="single" w:sz="6" w:space="4" w:color="auto"/>
      </w:pBdr>
    </w:pPr>
  </w:style>
  <w:style w:type="numbering" w:customStyle="1" w:styleId="Bulletleftmargin">
    <w:name w:val="Bullet left margin"/>
    <w:uiPriority w:val="99"/>
    <w:rsid w:val="00E03F2E"/>
    <w:pPr>
      <w:numPr>
        <w:numId w:val="1"/>
      </w:numPr>
    </w:pPr>
  </w:style>
  <w:style w:type="character" w:customStyle="1" w:styleId="Heading1Char">
    <w:name w:val="Heading 1 Char"/>
    <w:basedOn w:val="DefaultParagraphFont"/>
    <w:link w:val="Heading1"/>
    <w:rsid w:val="005E5E9B"/>
    <w:rPr>
      <w:rFonts w:cs="SBL Hebrew"/>
      <w:b/>
      <w:sz w:val="24"/>
      <w:szCs w:val="28"/>
      <w:lang w:val="en-US" w:eastAsia="en-US" w:bidi="he-IL"/>
    </w:rPr>
  </w:style>
  <w:style w:type="character" w:customStyle="1" w:styleId="FootnoteTextChar">
    <w:name w:val="Footnote Text Char"/>
    <w:basedOn w:val="DefaultParagraphFont"/>
    <w:link w:val="FootnoteText"/>
    <w:semiHidden/>
    <w:rsid w:val="005E5E9B"/>
    <w:rPr>
      <w:rFonts w:cs="SBL Hebrew"/>
      <w:szCs w:val="24"/>
      <w:lang w:val="en-US" w:eastAsia="en-US" w:bidi="he-IL"/>
    </w:rPr>
  </w:style>
  <w:style w:type="character" w:customStyle="1" w:styleId="TitleChar">
    <w:name w:val="Title Char"/>
    <w:basedOn w:val="DefaultParagraphFont"/>
    <w:link w:val="Title"/>
    <w:rsid w:val="005E5E9B"/>
    <w:rPr>
      <w:rFonts w:cs="SBL Hebrew"/>
      <w:b/>
      <w:sz w:val="24"/>
      <w:szCs w:val="28"/>
      <w:lang w:val="en-US" w:eastAsia="en-US" w:bidi="he-IL"/>
    </w:rPr>
  </w:style>
  <w:style w:type="character" w:styleId="Hyperlink">
    <w:name w:val="Hyperlink"/>
    <w:basedOn w:val="DefaultParagraphFont"/>
    <w:rsid w:val="005E5E9B"/>
    <w:rPr>
      <w:color w:val="0000FF"/>
      <w:u w:val="single"/>
    </w:rPr>
  </w:style>
  <w:style w:type="character" w:styleId="FootnoteReference">
    <w:name w:val="footnote reference"/>
    <w:basedOn w:val="DefaultParagraphFont"/>
    <w:rsid w:val="005E5E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proxy.student.twu.ca/login?url=http://search.ebscohost.com/login.asp?profile=web&amp;defaultdb=rfh" TargetMode="External"/><Relationship Id="rId3" Type="http://schemas.openxmlformats.org/officeDocument/2006/relationships/settings" Target="settings.xml"/><Relationship Id="rId7" Type="http://schemas.openxmlformats.org/officeDocument/2006/relationships/hyperlink" Target="http://www.twu.ca/library/whichindrs.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cufts2.lib.sfu.ca/CJDB4/BLTW/browse" TargetMode="External"/><Relationship Id="rId4" Type="http://schemas.openxmlformats.org/officeDocument/2006/relationships/webSettings" Target="webSettings.xml"/><Relationship Id="rId9" Type="http://schemas.openxmlformats.org/officeDocument/2006/relationships/hyperlink" Target="http://ezproxy.student.twu.ca:2057/ehost/search/basic?sid=2a90d5ad-3b53-4b5f-a8f3-2c997080ba47%40sessionmgr113&amp;vid=1&amp;hid=125"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zoter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1878</Words>
  <Characters>10705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Trinity Western University</Company>
  <LinksUpToDate>false</LinksUpToDate>
  <CharactersWithSpaces>12558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 Broyles</dc:creator>
  <cp:lastModifiedBy>Jocelyn Chapman</cp:lastModifiedBy>
  <cp:revision>2</cp:revision>
  <cp:lastPrinted>2014-01-29T17:58:00Z</cp:lastPrinted>
  <dcterms:created xsi:type="dcterms:W3CDTF">2018-09-11T20:09:00Z</dcterms:created>
  <dcterms:modified xsi:type="dcterms:W3CDTF">2018-09-11T20:09:00Z</dcterms:modified>
</cp:coreProperties>
</file>